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CE7DE" w14:textId="77777777" w:rsidR="001C6AB6" w:rsidRPr="00BE6C16" w:rsidRDefault="001C6AB6">
      <w:pPr>
        <w:rPr>
          <w:rFonts w:ascii="Arial" w:hAnsi="Arial" w:cs="Arial"/>
          <w:sz w:val="20"/>
          <w:szCs w:val="20"/>
        </w:rPr>
      </w:pPr>
      <w:bookmarkStart w:id="0" w:name="_GoBack"/>
      <w:bookmarkEnd w:id="0"/>
    </w:p>
    <w:tbl>
      <w:tblPr>
        <w:tblStyle w:val="TableGrid"/>
        <w:tblpPr w:leftFromText="180" w:rightFromText="180" w:vertAnchor="text" w:horzAnchor="margin" w:tblpXSpec="center" w:tblpY="4"/>
        <w:tblW w:w="11520" w:type="dxa"/>
        <w:tblLook w:val="04A0" w:firstRow="1" w:lastRow="0" w:firstColumn="1" w:lastColumn="0" w:noHBand="0" w:noVBand="1"/>
      </w:tblPr>
      <w:tblGrid>
        <w:gridCol w:w="550"/>
        <w:gridCol w:w="4251"/>
        <w:gridCol w:w="6719"/>
      </w:tblGrid>
      <w:tr w:rsidR="00770C68" w:rsidRPr="005C112D" w14:paraId="6A2E83E7" w14:textId="77777777" w:rsidTr="00770C68">
        <w:tc>
          <w:tcPr>
            <w:tcW w:w="494" w:type="dxa"/>
          </w:tcPr>
          <w:p w14:paraId="0307F57C" w14:textId="77777777" w:rsidR="00770C68" w:rsidRPr="005C112D" w:rsidRDefault="00770C68" w:rsidP="00770C68">
            <w:pPr>
              <w:jc w:val="center"/>
              <w:rPr>
                <w:rFonts w:ascii="Arial" w:hAnsi="Arial" w:cs="Arial"/>
                <w:b/>
                <w:sz w:val="24"/>
                <w:szCs w:val="24"/>
              </w:rPr>
            </w:pPr>
            <w:r w:rsidRPr="005C112D">
              <w:rPr>
                <w:rFonts w:ascii="Arial" w:hAnsi="Arial" w:cs="Arial"/>
                <w:b/>
                <w:sz w:val="24"/>
                <w:szCs w:val="24"/>
              </w:rPr>
              <w:t>SN</w:t>
            </w:r>
          </w:p>
        </w:tc>
        <w:tc>
          <w:tcPr>
            <w:tcW w:w="4271" w:type="dxa"/>
          </w:tcPr>
          <w:p w14:paraId="6361549C" w14:textId="77777777" w:rsidR="00770C68" w:rsidRPr="005C112D" w:rsidRDefault="00770C68" w:rsidP="00770C68">
            <w:pPr>
              <w:jc w:val="center"/>
              <w:rPr>
                <w:rFonts w:ascii="Arial" w:hAnsi="Arial" w:cs="Arial"/>
                <w:b/>
                <w:sz w:val="24"/>
                <w:szCs w:val="24"/>
              </w:rPr>
            </w:pPr>
            <w:r w:rsidRPr="005C112D">
              <w:rPr>
                <w:rFonts w:ascii="Arial" w:hAnsi="Arial" w:cs="Arial"/>
                <w:b/>
                <w:sz w:val="24"/>
                <w:szCs w:val="24"/>
              </w:rPr>
              <w:t>TITLE</w:t>
            </w:r>
          </w:p>
        </w:tc>
        <w:tc>
          <w:tcPr>
            <w:tcW w:w="6755" w:type="dxa"/>
          </w:tcPr>
          <w:p w14:paraId="27F7D837" w14:textId="77777777" w:rsidR="00770C68" w:rsidRPr="005C112D" w:rsidRDefault="00770C68" w:rsidP="00770C68">
            <w:pPr>
              <w:jc w:val="center"/>
              <w:rPr>
                <w:rFonts w:ascii="Arial" w:hAnsi="Arial" w:cs="Arial"/>
                <w:b/>
                <w:sz w:val="24"/>
                <w:szCs w:val="24"/>
              </w:rPr>
            </w:pPr>
            <w:r w:rsidRPr="005C112D">
              <w:rPr>
                <w:rFonts w:ascii="Arial" w:hAnsi="Arial" w:cs="Arial"/>
                <w:b/>
                <w:sz w:val="24"/>
                <w:szCs w:val="24"/>
              </w:rPr>
              <w:t>SCOPE</w:t>
            </w:r>
          </w:p>
        </w:tc>
      </w:tr>
      <w:tr w:rsidR="00770C68" w:rsidRPr="005C112D" w14:paraId="6BB6C516" w14:textId="77777777" w:rsidTr="00770C68">
        <w:tc>
          <w:tcPr>
            <w:tcW w:w="494" w:type="dxa"/>
          </w:tcPr>
          <w:p w14:paraId="15873187" w14:textId="77777777" w:rsidR="00770C68" w:rsidRPr="005C112D" w:rsidRDefault="00770C68" w:rsidP="00770C68">
            <w:pPr>
              <w:rPr>
                <w:rFonts w:ascii="Arial" w:hAnsi="Arial" w:cs="Arial"/>
                <w:sz w:val="24"/>
                <w:szCs w:val="24"/>
              </w:rPr>
            </w:pPr>
            <w:r w:rsidRPr="005C112D">
              <w:rPr>
                <w:rFonts w:ascii="Arial" w:hAnsi="Arial" w:cs="Arial"/>
                <w:sz w:val="24"/>
                <w:szCs w:val="24"/>
              </w:rPr>
              <w:t>1</w:t>
            </w:r>
          </w:p>
        </w:tc>
        <w:tc>
          <w:tcPr>
            <w:tcW w:w="4271" w:type="dxa"/>
          </w:tcPr>
          <w:p w14:paraId="20C193C8" w14:textId="4546C8AE" w:rsidR="00810BAC" w:rsidRPr="00810BAC" w:rsidRDefault="00810BAC" w:rsidP="00810BAC">
            <w:pPr>
              <w:contextualSpacing/>
              <w:jc w:val="both"/>
              <w:rPr>
                <w:rFonts w:ascii="Arial" w:eastAsia="Calibri" w:hAnsi="Arial" w:cs="Arial"/>
                <w:b/>
                <w:sz w:val="20"/>
                <w:szCs w:val="20"/>
              </w:rPr>
            </w:pPr>
            <w:r>
              <w:rPr>
                <w:rFonts w:ascii="Arial" w:eastAsia="Calibri" w:hAnsi="Arial" w:cs="Arial"/>
                <w:b/>
                <w:sz w:val="20"/>
                <w:szCs w:val="20"/>
              </w:rPr>
              <w:t>CDC 21(469) DTZS</w:t>
            </w:r>
            <w:r w:rsidRPr="00810BAC">
              <w:rPr>
                <w:rFonts w:ascii="Arial" w:eastAsia="Calibri" w:hAnsi="Arial" w:cs="Arial"/>
                <w:b/>
                <w:sz w:val="20"/>
                <w:szCs w:val="20"/>
              </w:rPr>
              <w:t>/ISO 10993-13:2010 Biological evaluation of medical devices - Part 13: Identification of degradation products from polymeric medical devices.</w:t>
            </w:r>
          </w:p>
          <w:p w14:paraId="1F224A77" w14:textId="77777777" w:rsidR="00770C68" w:rsidRPr="005C112D" w:rsidRDefault="00770C68" w:rsidP="00810BAC">
            <w:pPr>
              <w:autoSpaceDE w:val="0"/>
              <w:autoSpaceDN w:val="0"/>
              <w:adjustRightInd w:val="0"/>
              <w:jc w:val="both"/>
              <w:rPr>
                <w:rFonts w:ascii="Arial" w:hAnsi="Arial" w:cs="Arial"/>
                <w:sz w:val="24"/>
                <w:szCs w:val="24"/>
              </w:rPr>
            </w:pPr>
          </w:p>
        </w:tc>
        <w:tc>
          <w:tcPr>
            <w:tcW w:w="6755" w:type="dxa"/>
          </w:tcPr>
          <w:p w14:paraId="6747788D" w14:textId="77777777" w:rsidR="00810BAC" w:rsidRPr="00810BAC" w:rsidRDefault="00810BAC" w:rsidP="00810BAC">
            <w:pPr>
              <w:keepNext/>
              <w:jc w:val="both"/>
              <w:outlineLvl w:val="2"/>
              <w:rPr>
                <w:rFonts w:ascii="Arial" w:eastAsia="Calibri" w:hAnsi="Arial" w:cs="Arial"/>
                <w:sz w:val="20"/>
                <w:szCs w:val="20"/>
              </w:rPr>
            </w:pPr>
            <w:r w:rsidRPr="00810BAC">
              <w:rPr>
                <w:rFonts w:ascii="Arial" w:eastAsia="Calibri" w:hAnsi="Arial" w:cs="Arial"/>
                <w:sz w:val="20"/>
                <w:szCs w:val="20"/>
              </w:rPr>
              <w:t>This part of ISO 10993 provides general requirements for the design of tests in a simulated environment for identifying and quantifying degradation products from finished polymeric medical devices ready for clinical use. This part of ISO 10993 describes two test methods to generate degradation products, an accelerated degradation test as a screening method and a real-time degradation test in a simulated environment. For materials that are intended to polymerize in situ, the set or cured polymer is used for testing. The data generated are used in the biological evaluation of the polymer. This part of ISO 10993 considers only non-</w:t>
            </w:r>
            <w:proofErr w:type="spellStart"/>
            <w:r w:rsidRPr="00810BAC">
              <w:rPr>
                <w:rFonts w:ascii="Arial" w:eastAsia="Calibri" w:hAnsi="Arial" w:cs="Arial"/>
                <w:sz w:val="20"/>
                <w:szCs w:val="20"/>
              </w:rPr>
              <w:t>resorbable</w:t>
            </w:r>
            <w:proofErr w:type="spellEnd"/>
            <w:r w:rsidRPr="00810BAC">
              <w:rPr>
                <w:rFonts w:ascii="Arial" w:eastAsia="Calibri" w:hAnsi="Arial" w:cs="Arial"/>
                <w:sz w:val="20"/>
                <w:szCs w:val="20"/>
              </w:rPr>
              <w:t xml:space="preserve"> polymers. Similar but appropriately modified procedures may be applicable for </w:t>
            </w:r>
            <w:proofErr w:type="spellStart"/>
            <w:r w:rsidRPr="00810BAC">
              <w:rPr>
                <w:rFonts w:ascii="Arial" w:eastAsia="Calibri" w:hAnsi="Arial" w:cs="Arial"/>
                <w:sz w:val="20"/>
                <w:szCs w:val="20"/>
              </w:rPr>
              <w:t>resorbable</w:t>
            </w:r>
            <w:proofErr w:type="spellEnd"/>
            <w:r w:rsidRPr="00810BAC">
              <w:rPr>
                <w:rFonts w:ascii="Arial" w:eastAsia="Calibri" w:hAnsi="Arial" w:cs="Arial"/>
                <w:sz w:val="20"/>
                <w:szCs w:val="20"/>
              </w:rPr>
              <w:t xml:space="preserve"> polymers. </w:t>
            </w:r>
          </w:p>
          <w:p w14:paraId="3BE8A160" w14:textId="77777777" w:rsidR="00810BAC" w:rsidRPr="00810BAC" w:rsidRDefault="00810BAC" w:rsidP="00810BAC">
            <w:pPr>
              <w:keepNext/>
              <w:jc w:val="both"/>
              <w:outlineLvl w:val="2"/>
              <w:rPr>
                <w:rFonts w:ascii="Arial" w:eastAsia="Calibri" w:hAnsi="Arial" w:cs="Arial"/>
                <w:sz w:val="20"/>
                <w:szCs w:val="20"/>
              </w:rPr>
            </w:pPr>
          </w:p>
          <w:p w14:paraId="6683A5C8" w14:textId="77777777" w:rsidR="00810BAC" w:rsidRPr="00810BAC" w:rsidRDefault="00810BAC" w:rsidP="00810BAC">
            <w:pPr>
              <w:keepNext/>
              <w:jc w:val="both"/>
              <w:outlineLvl w:val="2"/>
              <w:rPr>
                <w:rFonts w:ascii="Arial" w:eastAsia="Calibri" w:hAnsi="Arial" w:cs="Arial"/>
                <w:sz w:val="20"/>
                <w:szCs w:val="20"/>
              </w:rPr>
            </w:pPr>
            <w:r w:rsidRPr="00810BAC">
              <w:rPr>
                <w:rFonts w:ascii="Arial" w:eastAsia="Calibri" w:hAnsi="Arial" w:cs="Arial"/>
                <w:sz w:val="20"/>
                <w:szCs w:val="20"/>
              </w:rPr>
              <w:t xml:space="preserve">This part of ISO 10993 considers only those degradation products generated by a chemical alteration of the finished polymeric device. It is not applicable to degradation of the device induced during its intended use by mechanical stress, wear or electromagnetic radiation or biological factors such as enzymes, other proteins and cellular activity. </w:t>
            </w:r>
          </w:p>
          <w:p w14:paraId="637BD58D" w14:textId="77777777" w:rsidR="00810BAC" w:rsidRPr="00810BAC" w:rsidRDefault="00810BAC" w:rsidP="00810BAC">
            <w:pPr>
              <w:keepNext/>
              <w:jc w:val="both"/>
              <w:outlineLvl w:val="2"/>
              <w:rPr>
                <w:rFonts w:ascii="Arial" w:eastAsia="Calibri" w:hAnsi="Arial" w:cs="Arial"/>
                <w:sz w:val="20"/>
                <w:szCs w:val="20"/>
              </w:rPr>
            </w:pPr>
          </w:p>
          <w:p w14:paraId="20BC71A5" w14:textId="77777777" w:rsidR="00810BAC" w:rsidRPr="00810BAC" w:rsidRDefault="00810BAC" w:rsidP="00810BAC">
            <w:pPr>
              <w:keepNext/>
              <w:jc w:val="both"/>
              <w:outlineLvl w:val="2"/>
              <w:rPr>
                <w:rFonts w:ascii="Arial" w:eastAsia="Times New Roman" w:hAnsi="Arial" w:cs="Arial"/>
                <w:b/>
                <w:bCs/>
                <w:sz w:val="20"/>
                <w:szCs w:val="20"/>
              </w:rPr>
            </w:pPr>
            <w:r w:rsidRPr="00810BAC">
              <w:rPr>
                <w:rFonts w:ascii="Arial" w:eastAsia="Calibri" w:hAnsi="Arial" w:cs="Arial"/>
                <w:sz w:val="20"/>
                <w:szCs w:val="20"/>
              </w:rPr>
              <w:t xml:space="preserve">NOTE </w:t>
            </w:r>
            <w:proofErr w:type="gramStart"/>
            <w:r w:rsidRPr="00810BAC">
              <w:rPr>
                <w:rFonts w:ascii="Arial" w:eastAsia="Calibri" w:hAnsi="Arial" w:cs="Arial"/>
                <w:sz w:val="20"/>
                <w:szCs w:val="20"/>
              </w:rPr>
              <w:t>An</w:t>
            </w:r>
            <w:proofErr w:type="gramEnd"/>
            <w:r w:rsidRPr="00810BAC">
              <w:rPr>
                <w:rFonts w:ascii="Arial" w:eastAsia="Calibri" w:hAnsi="Arial" w:cs="Arial"/>
                <w:sz w:val="20"/>
                <w:szCs w:val="20"/>
              </w:rPr>
              <w:t xml:space="preserve"> informative text discussing environmental stress cracking (ESC) of polymers is included as a potential aid to the design of degradation studies (see Annex B). The biological activity of the debris and soluble degradation products is not addressed in this part of ISO 10993, but should be evaluated according to the principles of ISO 10993-1, ISO 10993-16 and ISO 10993-17. Because of the wide range of polymeric materials used in medical devices, no specific analytical techniques are identified or given preference. No specific requirements for acceptable levels of degradation products are provided in this part of ISO 10993</w:t>
            </w:r>
            <w:r w:rsidRPr="00810BAC">
              <w:rPr>
                <w:rFonts w:ascii="Arial" w:eastAsia="Calibri" w:hAnsi="Arial" w:cs="Arial"/>
                <w:sz w:val="25"/>
                <w:szCs w:val="25"/>
              </w:rPr>
              <w:t>.</w:t>
            </w:r>
          </w:p>
          <w:p w14:paraId="7750A42A" w14:textId="78BA3B5A" w:rsidR="00770C68" w:rsidRPr="005C112D" w:rsidRDefault="00770C68" w:rsidP="00FD5241">
            <w:pPr>
              <w:jc w:val="both"/>
              <w:rPr>
                <w:rFonts w:ascii="Arial" w:hAnsi="Arial" w:cs="Arial"/>
                <w:sz w:val="24"/>
                <w:szCs w:val="24"/>
              </w:rPr>
            </w:pPr>
          </w:p>
        </w:tc>
      </w:tr>
      <w:tr w:rsidR="00770C68" w:rsidRPr="005C112D" w14:paraId="068FDE45" w14:textId="77777777" w:rsidTr="00770C68">
        <w:tc>
          <w:tcPr>
            <w:tcW w:w="494" w:type="dxa"/>
          </w:tcPr>
          <w:p w14:paraId="5DB3BCAD" w14:textId="77777777" w:rsidR="00770C68" w:rsidRPr="005C112D" w:rsidRDefault="00770C68" w:rsidP="00770C68">
            <w:pPr>
              <w:rPr>
                <w:rFonts w:ascii="Arial" w:hAnsi="Arial" w:cs="Arial"/>
                <w:sz w:val="24"/>
                <w:szCs w:val="24"/>
              </w:rPr>
            </w:pPr>
            <w:r w:rsidRPr="005C112D">
              <w:rPr>
                <w:rFonts w:ascii="Arial" w:hAnsi="Arial" w:cs="Arial"/>
                <w:sz w:val="24"/>
                <w:szCs w:val="24"/>
              </w:rPr>
              <w:t>2</w:t>
            </w:r>
          </w:p>
        </w:tc>
        <w:tc>
          <w:tcPr>
            <w:tcW w:w="4271" w:type="dxa"/>
          </w:tcPr>
          <w:p w14:paraId="77F9827E" w14:textId="00C4E18B" w:rsidR="00810BAC" w:rsidRPr="007031E6" w:rsidRDefault="00810BAC" w:rsidP="00810BAC">
            <w:pPr>
              <w:pStyle w:val="RefNorm"/>
              <w:rPr>
                <w:rFonts w:eastAsia="Calibri" w:cs="Arial"/>
                <w:b/>
                <w:lang w:val="en-US"/>
              </w:rPr>
            </w:pPr>
            <w:r>
              <w:rPr>
                <w:rFonts w:eastAsia="Calibri" w:cs="Arial"/>
                <w:b/>
                <w:lang w:val="en-US"/>
              </w:rPr>
              <w:t>CDC 21(465) DTZS</w:t>
            </w:r>
            <w:r w:rsidRPr="007031E6">
              <w:rPr>
                <w:rFonts w:eastAsia="Calibri" w:cs="Arial"/>
                <w:b/>
                <w:lang w:val="en-US"/>
              </w:rPr>
              <w:t>/ISO 10993-7:2008 Biological evaluation of medical Devices-Part 7: Ethylene oxide sterilization residuals.</w:t>
            </w:r>
          </w:p>
          <w:p w14:paraId="414C7E74" w14:textId="77777777" w:rsidR="00770C68" w:rsidRPr="005C112D" w:rsidRDefault="00770C68" w:rsidP="00810BAC">
            <w:pPr>
              <w:autoSpaceDE w:val="0"/>
              <w:autoSpaceDN w:val="0"/>
              <w:adjustRightInd w:val="0"/>
              <w:jc w:val="both"/>
              <w:rPr>
                <w:rFonts w:ascii="Arial" w:hAnsi="Arial" w:cs="Arial"/>
                <w:sz w:val="24"/>
                <w:szCs w:val="24"/>
              </w:rPr>
            </w:pPr>
          </w:p>
        </w:tc>
        <w:tc>
          <w:tcPr>
            <w:tcW w:w="6755" w:type="dxa"/>
          </w:tcPr>
          <w:p w14:paraId="01E275FC" w14:textId="77777777" w:rsidR="00810BAC" w:rsidRPr="00810BAC" w:rsidRDefault="00810BAC" w:rsidP="00810BAC">
            <w:pPr>
              <w:keepNext/>
              <w:jc w:val="both"/>
              <w:outlineLvl w:val="2"/>
              <w:rPr>
                <w:rFonts w:ascii="Arial" w:eastAsia="Calibri" w:hAnsi="Arial" w:cs="Arial"/>
                <w:sz w:val="20"/>
                <w:szCs w:val="20"/>
              </w:rPr>
            </w:pPr>
            <w:r w:rsidRPr="00810BAC">
              <w:rPr>
                <w:rFonts w:ascii="Arial" w:eastAsia="Calibri" w:hAnsi="Arial" w:cs="Arial"/>
                <w:sz w:val="20"/>
                <w:szCs w:val="20"/>
              </w:rPr>
              <w:t xml:space="preserve">This part of ISO 10993 specifies allowable limits for residual ethylene oxide (EO) and ethylene chlorohydrin (ECH) in individual EO-sterilized medical devices, procedures for the measurement of EO and ECH, and methods for determining compliance so that devices may be released. Additional background, including guidance and a flowchart showing how this document is applied, are also included in the informative annexes. EO-sterilized devices that have no patient contact (e.g., in vitro diagnostic devices) are not covered by this part of ISO 10993. </w:t>
            </w:r>
          </w:p>
          <w:p w14:paraId="67D50309" w14:textId="77777777" w:rsidR="00810BAC" w:rsidRPr="00810BAC" w:rsidRDefault="00810BAC" w:rsidP="00810BAC">
            <w:pPr>
              <w:keepNext/>
              <w:jc w:val="both"/>
              <w:outlineLvl w:val="2"/>
              <w:rPr>
                <w:rFonts w:ascii="Arial" w:eastAsia="Calibri" w:hAnsi="Arial" w:cs="Arial"/>
                <w:sz w:val="20"/>
                <w:szCs w:val="20"/>
              </w:rPr>
            </w:pPr>
          </w:p>
          <w:p w14:paraId="71E25CD7" w14:textId="77777777" w:rsidR="00810BAC" w:rsidRPr="00810BAC" w:rsidRDefault="00810BAC" w:rsidP="00810BAC">
            <w:pPr>
              <w:keepNext/>
              <w:jc w:val="both"/>
              <w:outlineLvl w:val="2"/>
              <w:rPr>
                <w:rFonts w:ascii="Arial" w:eastAsia="Times New Roman" w:hAnsi="Arial" w:cs="Arial"/>
                <w:b/>
                <w:bCs/>
                <w:sz w:val="20"/>
                <w:szCs w:val="20"/>
              </w:rPr>
            </w:pPr>
            <w:r w:rsidRPr="00810BAC">
              <w:rPr>
                <w:rFonts w:ascii="Arial" w:eastAsia="Calibri" w:hAnsi="Arial" w:cs="Arial"/>
                <w:sz w:val="20"/>
                <w:szCs w:val="20"/>
              </w:rPr>
              <w:t>NOTE This part of ISO 10993 does not specify limits for ethylene glycol (EG).</w:t>
            </w:r>
          </w:p>
          <w:p w14:paraId="340A3494" w14:textId="390B7567" w:rsidR="00770C68" w:rsidRPr="005C112D" w:rsidRDefault="00770C68" w:rsidP="00B03562">
            <w:pPr>
              <w:jc w:val="both"/>
              <w:rPr>
                <w:rFonts w:ascii="Arial" w:hAnsi="Arial" w:cs="Arial"/>
                <w:sz w:val="24"/>
                <w:szCs w:val="24"/>
              </w:rPr>
            </w:pPr>
          </w:p>
        </w:tc>
      </w:tr>
      <w:tr w:rsidR="00D6343C" w:rsidRPr="005C112D" w14:paraId="3AA3F0E4" w14:textId="77777777" w:rsidTr="00770C68">
        <w:tc>
          <w:tcPr>
            <w:tcW w:w="494" w:type="dxa"/>
          </w:tcPr>
          <w:p w14:paraId="584EC200" w14:textId="77777777" w:rsidR="00D6343C" w:rsidRPr="005C112D" w:rsidRDefault="00D6343C" w:rsidP="00770C68">
            <w:pPr>
              <w:rPr>
                <w:rFonts w:ascii="Arial" w:hAnsi="Arial" w:cs="Arial"/>
                <w:sz w:val="24"/>
                <w:szCs w:val="24"/>
              </w:rPr>
            </w:pPr>
            <w:r w:rsidRPr="005C112D">
              <w:rPr>
                <w:rFonts w:ascii="Arial" w:hAnsi="Arial" w:cs="Arial"/>
                <w:sz w:val="24"/>
                <w:szCs w:val="24"/>
              </w:rPr>
              <w:t>3</w:t>
            </w:r>
          </w:p>
        </w:tc>
        <w:tc>
          <w:tcPr>
            <w:tcW w:w="4271" w:type="dxa"/>
          </w:tcPr>
          <w:p w14:paraId="097A25DE" w14:textId="0E626376" w:rsidR="00810BAC" w:rsidRPr="00810BAC" w:rsidRDefault="00810BAC" w:rsidP="00810BAC">
            <w:pPr>
              <w:contextualSpacing/>
              <w:rPr>
                <w:rFonts w:ascii="Arial" w:eastAsia="Calibri" w:hAnsi="Arial" w:cs="Arial"/>
                <w:b/>
                <w:sz w:val="20"/>
                <w:szCs w:val="20"/>
              </w:rPr>
            </w:pPr>
            <w:r>
              <w:rPr>
                <w:rFonts w:ascii="Arial" w:eastAsia="Calibri" w:hAnsi="Arial" w:cs="Arial"/>
                <w:b/>
                <w:sz w:val="20"/>
                <w:szCs w:val="20"/>
              </w:rPr>
              <w:t>CDC 21(472) DTZS</w:t>
            </w:r>
            <w:r w:rsidRPr="00810BAC">
              <w:rPr>
                <w:rFonts w:ascii="Arial" w:eastAsia="Calibri" w:hAnsi="Arial" w:cs="Arial"/>
                <w:b/>
                <w:sz w:val="20"/>
                <w:szCs w:val="20"/>
              </w:rPr>
              <w:t>/ISO 7886-3:2020 Sterile hypodermic syringes for single use - Part 3: Auto-disable syringes for fixed</w:t>
            </w:r>
            <w:r w:rsidRPr="00810BAC">
              <w:rPr>
                <w:rFonts w:ascii="Calibri" w:eastAsia="Calibri" w:hAnsi="Calibri" w:cs="Times New Roman"/>
                <w:b/>
                <w:sz w:val="20"/>
                <w:szCs w:val="20"/>
              </w:rPr>
              <w:t xml:space="preserve"> </w:t>
            </w:r>
            <w:r w:rsidRPr="00810BAC">
              <w:rPr>
                <w:rFonts w:ascii="Arial" w:eastAsia="Calibri" w:hAnsi="Arial" w:cs="Arial"/>
                <w:b/>
                <w:sz w:val="20"/>
                <w:szCs w:val="20"/>
              </w:rPr>
              <w:t>dose immunization (Revision of TZS 993-3:2007).</w:t>
            </w:r>
          </w:p>
          <w:p w14:paraId="10BF298A" w14:textId="77777777" w:rsidR="00D6343C" w:rsidRPr="005C112D" w:rsidRDefault="00D6343C" w:rsidP="00810BAC">
            <w:pPr>
              <w:autoSpaceDE w:val="0"/>
              <w:autoSpaceDN w:val="0"/>
              <w:adjustRightInd w:val="0"/>
              <w:jc w:val="both"/>
              <w:rPr>
                <w:rFonts w:ascii="Arial" w:hAnsi="Arial" w:cs="Arial"/>
                <w:sz w:val="24"/>
                <w:szCs w:val="24"/>
              </w:rPr>
            </w:pPr>
          </w:p>
        </w:tc>
        <w:tc>
          <w:tcPr>
            <w:tcW w:w="6755" w:type="dxa"/>
          </w:tcPr>
          <w:p w14:paraId="42963BAF" w14:textId="77777777" w:rsidR="00810BAC" w:rsidRPr="00810BAC" w:rsidRDefault="00810BAC" w:rsidP="00810BAC">
            <w:pPr>
              <w:jc w:val="both"/>
              <w:rPr>
                <w:rFonts w:ascii="Arial" w:eastAsia="Times New Roman" w:hAnsi="Arial" w:cs="Arial"/>
                <w:color w:val="000000"/>
                <w:sz w:val="20"/>
                <w:szCs w:val="20"/>
              </w:rPr>
            </w:pPr>
            <w:r w:rsidRPr="00810BAC">
              <w:rPr>
                <w:rFonts w:ascii="Arial" w:eastAsia="Calibri" w:hAnsi="Arial" w:cs="Arial"/>
                <w:sz w:val="20"/>
                <w:szCs w:val="20"/>
              </w:rPr>
              <w:t xml:space="preserve">This document specifies the properties and performance of sterile single-use hypodermic syringes with an auto-disable syringe feature intended to deliver a fixed dose of vaccine immediately after filling. The syringes can be made of plastic, rubber or other materials and can be with or without needle and needle protection feature. This document does not specify the design of the auto-disable syringe feature. This document is not applicable to syringes for use with insulin (covered by ISO 8537), syringes for use with power-driven syringe pumps (covered by ISO 7886-2), reuse prevention syringes (covered by ISO 7886-4) or syringes designed to be </w:t>
            </w:r>
            <w:r w:rsidRPr="00810BAC">
              <w:rPr>
                <w:rFonts w:ascii="Arial" w:eastAsia="Calibri" w:hAnsi="Arial" w:cs="Arial"/>
                <w:sz w:val="20"/>
                <w:szCs w:val="20"/>
              </w:rPr>
              <w:lastRenderedPageBreak/>
              <w:t>prefilled (covered by the ISO 11040 series). It does not address compatibility with injection fluids/vaccines.</w:t>
            </w:r>
          </w:p>
          <w:p w14:paraId="3D0D19CF" w14:textId="07A3D341" w:rsidR="00D6343C" w:rsidRPr="005C112D" w:rsidRDefault="00D6343C" w:rsidP="00B03562">
            <w:pPr>
              <w:jc w:val="both"/>
              <w:rPr>
                <w:rFonts w:ascii="Arial" w:hAnsi="Arial" w:cs="Arial"/>
                <w:sz w:val="24"/>
                <w:szCs w:val="24"/>
              </w:rPr>
            </w:pPr>
          </w:p>
        </w:tc>
      </w:tr>
    </w:tbl>
    <w:p w14:paraId="3E5D3ABD" w14:textId="77777777" w:rsidR="0002195A" w:rsidRPr="005C112D" w:rsidRDefault="0002195A">
      <w:pPr>
        <w:rPr>
          <w:rFonts w:ascii="Arial" w:hAnsi="Arial" w:cs="Arial"/>
          <w:sz w:val="24"/>
          <w:szCs w:val="24"/>
        </w:rPr>
      </w:pPr>
    </w:p>
    <w:p w14:paraId="19A32B52" w14:textId="77777777" w:rsidR="006439EC" w:rsidRDefault="006439EC">
      <w:pPr>
        <w:rPr>
          <w:rFonts w:ascii="Arial" w:hAnsi="Arial" w:cs="Arial"/>
          <w:b/>
          <w:sz w:val="20"/>
          <w:szCs w:val="20"/>
        </w:rPr>
      </w:pPr>
    </w:p>
    <w:p w14:paraId="23C1A748" w14:textId="77777777" w:rsidR="006439EC" w:rsidRDefault="006439EC">
      <w:pPr>
        <w:rPr>
          <w:rFonts w:ascii="Arial" w:hAnsi="Arial" w:cs="Arial"/>
          <w:b/>
          <w:sz w:val="20"/>
          <w:szCs w:val="20"/>
        </w:rPr>
      </w:pPr>
    </w:p>
    <w:p w14:paraId="573B3B5D" w14:textId="77777777" w:rsidR="006439EC" w:rsidRDefault="006439EC">
      <w:pPr>
        <w:rPr>
          <w:rFonts w:ascii="Arial" w:hAnsi="Arial" w:cs="Arial"/>
          <w:b/>
          <w:sz w:val="20"/>
          <w:szCs w:val="20"/>
        </w:rPr>
      </w:pPr>
    </w:p>
    <w:p w14:paraId="16614032" w14:textId="77777777" w:rsidR="006439EC" w:rsidRDefault="006439EC">
      <w:pPr>
        <w:rPr>
          <w:rFonts w:ascii="Arial" w:hAnsi="Arial" w:cs="Arial"/>
          <w:b/>
          <w:sz w:val="20"/>
          <w:szCs w:val="20"/>
        </w:rPr>
      </w:pPr>
    </w:p>
    <w:p w14:paraId="2BE876BD" w14:textId="77777777" w:rsidR="006439EC" w:rsidRDefault="006439EC">
      <w:pPr>
        <w:rPr>
          <w:rFonts w:ascii="Arial" w:hAnsi="Arial" w:cs="Arial"/>
          <w:b/>
          <w:sz w:val="20"/>
          <w:szCs w:val="20"/>
        </w:rPr>
      </w:pPr>
    </w:p>
    <w:p w14:paraId="101FE976" w14:textId="77777777" w:rsidR="006439EC" w:rsidRDefault="006439EC">
      <w:pPr>
        <w:rPr>
          <w:rFonts w:ascii="Arial" w:hAnsi="Arial" w:cs="Arial"/>
          <w:b/>
          <w:sz w:val="20"/>
          <w:szCs w:val="20"/>
        </w:rPr>
      </w:pPr>
    </w:p>
    <w:p w14:paraId="334BFB35" w14:textId="77777777" w:rsidR="006439EC" w:rsidRDefault="006439EC">
      <w:pPr>
        <w:rPr>
          <w:rFonts w:ascii="Arial" w:hAnsi="Arial" w:cs="Arial"/>
          <w:b/>
          <w:sz w:val="20"/>
          <w:szCs w:val="20"/>
        </w:rPr>
      </w:pPr>
    </w:p>
    <w:p w14:paraId="04F0E198" w14:textId="77777777" w:rsidR="006439EC" w:rsidRDefault="006439EC">
      <w:pPr>
        <w:rPr>
          <w:rFonts w:ascii="Arial" w:hAnsi="Arial" w:cs="Arial"/>
          <w:b/>
          <w:sz w:val="20"/>
          <w:szCs w:val="20"/>
        </w:rPr>
      </w:pPr>
    </w:p>
    <w:p w14:paraId="280B46AF" w14:textId="77777777" w:rsidR="006439EC" w:rsidRDefault="006439EC">
      <w:pPr>
        <w:rPr>
          <w:rFonts w:ascii="Arial" w:hAnsi="Arial" w:cs="Arial"/>
          <w:b/>
          <w:sz w:val="20"/>
          <w:szCs w:val="20"/>
        </w:rPr>
      </w:pPr>
    </w:p>
    <w:p w14:paraId="53A35F78" w14:textId="77777777" w:rsidR="006439EC" w:rsidRDefault="006439EC">
      <w:pPr>
        <w:rPr>
          <w:rFonts w:ascii="Arial" w:hAnsi="Arial" w:cs="Arial"/>
          <w:b/>
          <w:sz w:val="20"/>
          <w:szCs w:val="20"/>
        </w:rPr>
      </w:pPr>
    </w:p>
    <w:p w14:paraId="3D926BC4" w14:textId="77777777" w:rsidR="006439EC" w:rsidRDefault="006439EC">
      <w:pPr>
        <w:rPr>
          <w:rFonts w:ascii="Arial" w:hAnsi="Arial" w:cs="Arial"/>
          <w:b/>
          <w:sz w:val="20"/>
          <w:szCs w:val="20"/>
        </w:rPr>
      </w:pPr>
    </w:p>
    <w:p w14:paraId="353D0AA2" w14:textId="77777777" w:rsidR="006439EC" w:rsidRDefault="006439EC">
      <w:pPr>
        <w:rPr>
          <w:rFonts w:ascii="Arial" w:hAnsi="Arial" w:cs="Arial"/>
          <w:b/>
          <w:sz w:val="20"/>
          <w:szCs w:val="20"/>
        </w:rPr>
      </w:pPr>
    </w:p>
    <w:p w14:paraId="536CD052" w14:textId="77777777" w:rsidR="0002195A" w:rsidRPr="00BE6C16" w:rsidRDefault="0002195A">
      <w:pPr>
        <w:rPr>
          <w:rFonts w:ascii="Arial" w:hAnsi="Arial" w:cs="Arial"/>
          <w:sz w:val="20"/>
          <w:szCs w:val="20"/>
        </w:rPr>
      </w:pPr>
    </w:p>
    <w:sectPr w:rsidR="0002195A" w:rsidRPr="00BE6C16" w:rsidSect="00B0356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0CBDC" w14:textId="77777777" w:rsidR="00EF05D2" w:rsidRDefault="00EF05D2" w:rsidP="0002195A">
      <w:pPr>
        <w:spacing w:after="0" w:line="240" w:lineRule="auto"/>
      </w:pPr>
      <w:r>
        <w:separator/>
      </w:r>
    </w:p>
  </w:endnote>
  <w:endnote w:type="continuationSeparator" w:id="0">
    <w:p w14:paraId="10BF4A26" w14:textId="77777777" w:rsidR="00EF05D2" w:rsidRDefault="00EF05D2" w:rsidP="0002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1A853" w14:textId="77777777" w:rsidR="00EF05D2" w:rsidRDefault="00EF05D2" w:rsidP="0002195A">
      <w:pPr>
        <w:spacing w:after="0" w:line="240" w:lineRule="auto"/>
      </w:pPr>
      <w:r>
        <w:separator/>
      </w:r>
    </w:p>
  </w:footnote>
  <w:footnote w:type="continuationSeparator" w:id="0">
    <w:p w14:paraId="642A70F9" w14:textId="77777777" w:rsidR="00EF05D2" w:rsidRDefault="00EF05D2" w:rsidP="00021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67902" w14:textId="77777777" w:rsidR="005C73FB" w:rsidRPr="005C73FB" w:rsidRDefault="005C73FB" w:rsidP="005C73FB">
    <w:pPr>
      <w:pStyle w:val="Header"/>
      <w:jc w:val="center"/>
      <w:rPr>
        <w:b/>
      </w:rPr>
    </w:pPr>
    <w:r w:rsidRPr="005C73FB">
      <w:rPr>
        <w:b/>
      </w:rPr>
      <w:t>TANZANIA BUREAU OF STANDARDS</w:t>
    </w:r>
  </w:p>
  <w:p w14:paraId="32BD28FB" w14:textId="77777777" w:rsidR="005C73FB" w:rsidRPr="005C73FB" w:rsidRDefault="005C73FB" w:rsidP="005C73FB">
    <w:pPr>
      <w:pStyle w:val="Header"/>
      <w:jc w:val="center"/>
      <w:rPr>
        <w:b/>
      </w:rPr>
    </w:pPr>
    <w:r w:rsidRPr="005C73FB">
      <w:rPr>
        <w:b/>
      </w:rPr>
      <w:t>DIRECTORATE OF STANDARDS DEVELOPMENT</w:t>
    </w:r>
  </w:p>
  <w:p w14:paraId="1DD9E433" w14:textId="77777777" w:rsidR="005C73FB" w:rsidRPr="005C73FB" w:rsidRDefault="005C73FB" w:rsidP="005C73FB">
    <w:pPr>
      <w:pStyle w:val="Header"/>
      <w:jc w:val="center"/>
      <w:rPr>
        <w:b/>
      </w:rPr>
    </w:pPr>
    <w:r w:rsidRPr="005C73FB">
      <w:rPr>
        <w:b/>
      </w:rPr>
      <w:t>CHEMICAL SECTION</w:t>
    </w:r>
  </w:p>
  <w:p w14:paraId="4B144926" w14:textId="77777777" w:rsidR="005C73FB" w:rsidRPr="005C73FB" w:rsidRDefault="005C73FB" w:rsidP="005C73FB">
    <w:pPr>
      <w:pStyle w:val="Header"/>
      <w:jc w:val="center"/>
      <w:rPr>
        <w:b/>
      </w:rPr>
    </w:pPr>
    <w:r w:rsidRPr="005C73FB">
      <w:rPr>
        <w:b/>
      </w:rPr>
      <w:t>DRAFT TANZANIA STANDARDS ON MEDICAL DEVICES FOR STAKEHOLDERS COMMENTS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474ED"/>
    <w:multiLevelType w:val="hybridMultilevel"/>
    <w:tmpl w:val="E9C6F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5A"/>
    <w:rsid w:val="0002195A"/>
    <w:rsid w:val="001C5D47"/>
    <w:rsid w:val="001C6AB6"/>
    <w:rsid w:val="001F0B82"/>
    <w:rsid w:val="001F7535"/>
    <w:rsid w:val="00250E2D"/>
    <w:rsid w:val="00344ED3"/>
    <w:rsid w:val="003D7044"/>
    <w:rsid w:val="004E52CF"/>
    <w:rsid w:val="004F32CB"/>
    <w:rsid w:val="00536D10"/>
    <w:rsid w:val="005C112D"/>
    <w:rsid w:val="005C73FB"/>
    <w:rsid w:val="006439EC"/>
    <w:rsid w:val="00720DC4"/>
    <w:rsid w:val="00770C68"/>
    <w:rsid w:val="00810BAC"/>
    <w:rsid w:val="0083797A"/>
    <w:rsid w:val="009F5ACC"/>
    <w:rsid w:val="00A3437F"/>
    <w:rsid w:val="00AC4AAC"/>
    <w:rsid w:val="00B03562"/>
    <w:rsid w:val="00BE6C16"/>
    <w:rsid w:val="00D6343C"/>
    <w:rsid w:val="00D674FF"/>
    <w:rsid w:val="00EC2BC0"/>
    <w:rsid w:val="00EF05D2"/>
    <w:rsid w:val="00F33766"/>
    <w:rsid w:val="00FD5241"/>
    <w:rsid w:val="00FD553F"/>
    <w:rsid w:val="00FF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E50E"/>
  <w15:chartTrackingRefBased/>
  <w15:docId w15:val="{E4B72B80-BF06-46C9-B432-A6A6CE35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95A"/>
  </w:style>
  <w:style w:type="paragraph" w:styleId="Footer">
    <w:name w:val="footer"/>
    <w:basedOn w:val="Normal"/>
    <w:link w:val="FooterChar"/>
    <w:uiPriority w:val="99"/>
    <w:unhideWhenUsed/>
    <w:rsid w:val="00021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95A"/>
  </w:style>
  <w:style w:type="paragraph" w:customStyle="1" w:styleId="RefNorm">
    <w:name w:val="RefNorm"/>
    <w:basedOn w:val="Normal"/>
    <w:next w:val="Normal"/>
    <w:rsid w:val="00810BAC"/>
    <w:pPr>
      <w:spacing w:after="240" w:line="230" w:lineRule="atLeast"/>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PTSD -CHMCL-ALEXANDER</dc:creator>
  <cp:keywords/>
  <dc:description/>
  <cp:lastModifiedBy>Rhoida</cp:lastModifiedBy>
  <cp:revision>2</cp:revision>
  <dcterms:created xsi:type="dcterms:W3CDTF">2020-12-28T03:51:00Z</dcterms:created>
  <dcterms:modified xsi:type="dcterms:W3CDTF">2020-12-28T03:51:00Z</dcterms:modified>
</cp:coreProperties>
</file>